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1" w:rsidRDefault="005E20A3" w:rsidP="00460D51">
      <w:pPr>
        <w:jc w:val="center"/>
        <w:rPr>
          <w:b/>
          <w:bCs/>
          <w:szCs w:val="18"/>
        </w:rPr>
      </w:pPr>
      <w:r>
        <w:rPr>
          <w:rFonts w:ascii="Times New Roman" w:hAnsi="Times New Roman"/>
          <w:b/>
          <w:bCs/>
          <w:sz w:val="28"/>
          <w:szCs w:val="28"/>
        </w:rPr>
        <w:pict>
          <v:shapetype id="_x0000_t202" coordsize="21600,21600" o:spt="202" path="m,l,21600r21600,l21600,xe">
            <v:stroke joinstyle="miter"/>
            <v:path gradientshapeok="t" o:connecttype="rect"/>
          </v:shapetype>
          <v:shape id="_x0000_s1029" type="#_x0000_t202" style="position:absolute;left:0;text-align:left;margin-left:405pt;margin-top:-18pt;width:36pt;height:27.05pt;z-index:251658240">
            <v:textbox style="mso-next-textbox:#_x0000_s1029">
              <w:txbxContent>
                <w:p w:rsidR="00F4336F" w:rsidRPr="00C075E0" w:rsidRDefault="00F77407" w:rsidP="00F4336F">
                  <w:pPr>
                    <w:rPr>
                      <w:b/>
                      <w:sz w:val="32"/>
                      <w:szCs w:val="32"/>
                    </w:rPr>
                  </w:pPr>
                  <w:r>
                    <w:rPr>
                      <w:rFonts w:ascii="Times New Roman" w:hAnsi="Times New Roman"/>
                      <w:b/>
                      <w:sz w:val="32"/>
                      <w:szCs w:val="32"/>
                    </w:rPr>
                    <w:t>10</w:t>
                  </w:r>
                  <w:r w:rsidR="00460D51">
                    <w:rPr>
                      <w:rFonts w:ascii="Times New Roman" w:hAnsi="Times New Roman"/>
                      <w:b/>
                      <w:sz w:val="32"/>
                      <w:szCs w:val="32"/>
                    </w:rPr>
                    <w:t>8</w:t>
                  </w:r>
                </w:p>
              </w:txbxContent>
            </v:textbox>
          </v:shape>
        </w:pict>
      </w:r>
      <w:r>
        <w:rPr>
          <w:rFonts w:ascii="Times New Roman" w:hAnsi="Times New Roman"/>
          <w:b/>
          <w:bCs/>
          <w:sz w:val="28"/>
          <w:szCs w:val="28"/>
        </w:rPr>
        <w:pict>
          <v:shape id="Infopage" o:spid="_x0000_s1028" style="position:absolute;left:0;text-align:left;margin-left:-18pt;margin-top:-9pt;width:32.65pt;height:34.55pt;z-index:251657216"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sidR="00F4336F" w:rsidRPr="00F4336F">
        <w:rPr>
          <w:rFonts w:ascii="Times New Roman" w:hAnsi="Times New Roman"/>
          <w:b/>
          <w:bCs/>
          <w:sz w:val="28"/>
          <w:szCs w:val="28"/>
        </w:rPr>
        <w:t xml:space="preserve"> </w:t>
      </w:r>
      <w:r w:rsidR="00460D51" w:rsidRPr="00114E2E">
        <w:rPr>
          <w:rFonts w:ascii="Times New Roman" w:hAnsi="Times New Roman"/>
          <w:b/>
          <w:bCs/>
          <w:sz w:val="36"/>
          <w:szCs w:val="36"/>
        </w:rPr>
        <w:t>Schöpfungsgedanke und Fortschrittsglaube</w:t>
      </w:r>
      <w:r w:rsidR="00F4336F" w:rsidRPr="00F4336F">
        <w:rPr>
          <w:rFonts w:ascii="Times New Roman" w:hAnsi="Times New Roman"/>
          <w:b/>
          <w:bCs/>
          <w:sz w:val="28"/>
          <w:szCs w:val="28"/>
        </w:rPr>
        <w:br/>
      </w:r>
      <w:r w:rsidR="00460D51" w:rsidRPr="00460D51">
        <w:rPr>
          <w:b/>
          <w:bCs/>
          <w:sz w:val="32"/>
          <w:szCs w:val="18"/>
        </w:rPr>
        <w:t xml:space="preserve"> </w:t>
      </w:r>
      <w:r w:rsidR="00460D51">
        <w:rPr>
          <w:b/>
          <w:bCs/>
          <w:szCs w:val="18"/>
        </w:rPr>
        <w:t>(Wolfgang Huber)</w:t>
      </w:r>
    </w:p>
    <w:p w:rsidR="00460D51" w:rsidRDefault="00460D51" w:rsidP="00460D51">
      <w:pPr>
        <w:pStyle w:val="Textkrper"/>
      </w:pPr>
    </w:p>
    <w:p w:rsidR="00460D51" w:rsidRDefault="00460D51" w:rsidP="00460D51">
      <w:pPr>
        <w:pStyle w:val="Textkrper"/>
      </w:pPr>
      <w:r>
        <w:t xml:space="preserve">Wolfgang Huber (geb. 1940), lange Zeit Theologieprofessor in Heidelberg, bis 2009 Ratsvorsitzender  der EKD und Bischof der Evangelischen Landeskirche in Berlin-Brandenburg. In seinen Schriften und Reden nimmt er immer wieder zu aktuellen Fragen des Friedens, der Gerechtigkeit und der Bewahrung der Schöpfung Stellung. </w:t>
      </w:r>
    </w:p>
    <w:p w:rsidR="00460D51" w:rsidRPr="00460D51" w:rsidRDefault="00460D51" w:rsidP="00460D51">
      <w:pPr>
        <w:spacing w:before="153"/>
        <w:jc w:val="both"/>
        <w:rPr>
          <w:rFonts w:ascii="Times New Roman" w:hAnsi="Times New Roman"/>
          <w:szCs w:val="18"/>
        </w:rPr>
      </w:pPr>
      <w:r w:rsidRPr="00460D51">
        <w:rPr>
          <w:rFonts w:ascii="Times New Roman" w:hAnsi="Times New Roman"/>
          <w:szCs w:val="18"/>
        </w:rPr>
        <w:t>Dass es den Naturwissenschaftlern gelungen ist, in die Geheimnisse des Atoms wie des genetischen Codes einzudringen, bestimmt ihr Selbstbewu</w:t>
      </w:r>
      <w:r>
        <w:rPr>
          <w:rFonts w:ascii="Times New Roman" w:hAnsi="Times New Roman"/>
          <w:szCs w:val="18"/>
        </w:rPr>
        <w:t>ss</w:t>
      </w:r>
      <w:r w:rsidRPr="00460D51">
        <w:rPr>
          <w:rFonts w:ascii="Times New Roman" w:hAnsi="Times New Roman"/>
          <w:szCs w:val="18"/>
        </w:rPr>
        <w:t>tsein. Manche begründen daraus einen Epochenwandel von nahezu unvergleichlicher Dramatik. [...] Doch mit überwältigender Rasanz ergaben sich aus be</w:t>
      </w:r>
      <w:r w:rsidRPr="00460D51">
        <w:rPr>
          <w:rFonts w:ascii="Times New Roman" w:hAnsi="Times New Roman"/>
          <w:szCs w:val="18"/>
        </w:rPr>
        <w:t>i</w:t>
      </w:r>
      <w:r w:rsidRPr="00460D51">
        <w:rPr>
          <w:rFonts w:ascii="Times New Roman" w:hAnsi="Times New Roman"/>
          <w:szCs w:val="18"/>
        </w:rPr>
        <w:t xml:space="preserve">den Durchbrüchen Anwendungsfolgen von ungeahnten Ausmaßen. [...] </w:t>
      </w:r>
    </w:p>
    <w:p w:rsidR="00460D51" w:rsidRPr="00460D51" w:rsidRDefault="00460D51" w:rsidP="00460D51">
      <w:pPr>
        <w:spacing w:before="14"/>
        <w:jc w:val="both"/>
        <w:rPr>
          <w:rFonts w:ascii="Times New Roman" w:hAnsi="Times New Roman"/>
        </w:rPr>
      </w:pPr>
      <w:r w:rsidRPr="00460D51">
        <w:rPr>
          <w:rFonts w:ascii="Times New Roman" w:hAnsi="Times New Roman"/>
          <w:szCs w:val="18"/>
        </w:rPr>
        <w:t>Auf das Gefährdungspotential neuer Technologien antworten weder Wissenschaft noch Politik mit Schritten der Selbstbegrenzung; sie antworteten vielmehr mit der Forderung nach neuen Sicherheit</w:t>
      </w:r>
      <w:r w:rsidRPr="00460D51">
        <w:rPr>
          <w:rFonts w:ascii="Times New Roman" w:hAnsi="Times New Roman"/>
          <w:szCs w:val="18"/>
        </w:rPr>
        <w:t>s</w:t>
      </w:r>
      <w:r w:rsidRPr="00460D51">
        <w:rPr>
          <w:rFonts w:ascii="Times New Roman" w:hAnsi="Times New Roman"/>
          <w:szCs w:val="18"/>
        </w:rPr>
        <w:t>maßnahmen. Die entscheidende Aufgabe wird nicht darin gesehen, die Menschen vor den Folgen neuer Technologien zu schützen; vielmehr geht es darum, die Technik gegenüber der Fehlerhaftigkeit der Menschen zu immunisi</w:t>
      </w:r>
      <w:r w:rsidRPr="00460D51">
        <w:rPr>
          <w:rFonts w:ascii="Times New Roman" w:hAnsi="Times New Roman"/>
          <w:szCs w:val="18"/>
        </w:rPr>
        <w:t>e</w:t>
      </w:r>
      <w:r w:rsidRPr="00460D51">
        <w:rPr>
          <w:rFonts w:ascii="Times New Roman" w:hAnsi="Times New Roman"/>
          <w:szCs w:val="18"/>
        </w:rPr>
        <w:t>ren. Priorität genießt heute nicht die Entwicklung einer fehlerfreundlichen, einer in diesem präzisen Sinn humanen Technik; Priorität genießt heute vielmehr die Sicherung des Fortschritts gegen die Fehler der Menschen. Auch in den Entscheidungen unserer Tage trägt der Gla</w:t>
      </w:r>
      <w:r w:rsidRPr="00460D51">
        <w:rPr>
          <w:rFonts w:ascii="Times New Roman" w:hAnsi="Times New Roman"/>
          <w:szCs w:val="18"/>
        </w:rPr>
        <w:t>u</w:t>
      </w:r>
      <w:r w:rsidRPr="00460D51">
        <w:rPr>
          <w:rFonts w:ascii="Times New Roman" w:hAnsi="Times New Roman"/>
          <w:szCs w:val="18"/>
        </w:rPr>
        <w:t xml:space="preserve">be an den unbegrenzten Fortschritt den Sieg davon. Er ist erfolgreicher als der Versuch, der Grenzen der Menschen </w:t>
      </w:r>
      <w:r w:rsidRPr="00460D51">
        <w:rPr>
          <w:rFonts w:ascii="Times New Roman" w:hAnsi="Times New Roman"/>
        </w:rPr>
        <w:t xml:space="preserve">eingedenk zu bleiben. </w:t>
      </w:r>
    </w:p>
    <w:p w:rsidR="00460D51" w:rsidRPr="00460D51" w:rsidRDefault="00460D51" w:rsidP="00460D51">
      <w:pPr>
        <w:spacing w:before="14"/>
        <w:jc w:val="both"/>
        <w:rPr>
          <w:rFonts w:ascii="Times New Roman" w:hAnsi="Times New Roman"/>
          <w:szCs w:val="18"/>
        </w:rPr>
      </w:pPr>
      <w:r w:rsidRPr="00460D51">
        <w:rPr>
          <w:rFonts w:ascii="Times New Roman" w:hAnsi="Times New Roman"/>
          <w:szCs w:val="18"/>
        </w:rPr>
        <w:t>Hinter den wissenschaftsethischen Kontroversen unserer Zeit steht der Konflikt zwischen dem Fortschritt</w:t>
      </w:r>
      <w:r w:rsidRPr="00460D51">
        <w:rPr>
          <w:rFonts w:ascii="Times New Roman" w:hAnsi="Times New Roman"/>
          <w:szCs w:val="18"/>
        </w:rPr>
        <w:t>s</w:t>
      </w:r>
      <w:r w:rsidRPr="00460D51">
        <w:rPr>
          <w:rFonts w:ascii="Times New Roman" w:hAnsi="Times New Roman"/>
          <w:szCs w:val="18"/>
        </w:rPr>
        <w:t>glauben und jenem Denken, das sich an der Differenz zwischen dem unendlichen Schöpfer und der En</w:t>
      </w:r>
      <w:r w:rsidRPr="00460D51">
        <w:rPr>
          <w:rFonts w:ascii="Times New Roman" w:hAnsi="Times New Roman"/>
          <w:szCs w:val="18"/>
        </w:rPr>
        <w:t>d</w:t>
      </w:r>
      <w:r w:rsidRPr="00460D51">
        <w:rPr>
          <w:rFonts w:ascii="Times New Roman" w:hAnsi="Times New Roman"/>
          <w:szCs w:val="18"/>
        </w:rPr>
        <w:t>lichkeit seiner Geschöpfe orientiert. Mit Absicht widerspreche ich mit dieser Formulierung einem geläufigen Vorurteil. Es pflegt die Rationalität der Neuzeit mit dem mythischen Denken früh</w:t>
      </w:r>
      <w:r w:rsidRPr="00460D51">
        <w:rPr>
          <w:rFonts w:ascii="Times New Roman" w:hAnsi="Times New Roman"/>
          <w:szCs w:val="18"/>
        </w:rPr>
        <w:t>e</w:t>
      </w:r>
      <w:r w:rsidRPr="00460D51">
        <w:rPr>
          <w:rFonts w:ascii="Times New Roman" w:hAnsi="Times New Roman"/>
          <w:szCs w:val="18"/>
        </w:rPr>
        <w:t xml:space="preserve">rer Epochen zu kontrastieren. Mein Zweifel an diesem Vorurteil drückt sich in der Rede vom </w:t>
      </w:r>
      <w:r w:rsidRPr="00460D51">
        <w:rPr>
          <w:rFonts w:ascii="Times New Roman" w:hAnsi="Times New Roman"/>
          <w:i/>
          <w:iCs/>
          <w:szCs w:val="18"/>
        </w:rPr>
        <w:t>Schö</w:t>
      </w:r>
      <w:r w:rsidRPr="00460D51">
        <w:rPr>
          <w:rFonts w:ascii="Times New Roman" w:hAnsi="Times New Roman"/>
          <w:i/>
          <w:iCs/>
          <w:szCs w:val="18"/>
        </w:rPr>
        <w:t>p</w:t>
      </w:r>
      <w:r w:rsidRPr="00460D51">
        <w:rPr>
          <w:rFonts w:ascii="Times New Roman" w:hAnsi="Times New Roman"/>
          <w:i/>
          <w:iCs/>
          <w:szCs w:val="18"/>
        </w:rPr>
        <w:t xml:space="preserve">fungsgedanken </w:t>
      </w:r>
      <w:r w:rsidRPr="00460D51">
        <w:rPr>
          <w:rFonts w:ascii="Times New Roman" w:hAnsi="Times New Roman"/>
          <w:szCs w:val="18"/>
        </w:rPr>
        <w:t>und vom Fortschritts</w:t>
      </w:r>
      <w:r w:rsidRPr="00460D51">
        <w:rPr>
          <w:rFonts w:ascii="Times New Roman" w:hAnsi="Times New Roman"/>
          <w:i/>
          <w:iCs/>
          <w:szCs w:val="18"/>
        </w:rPr>
        <w:t xml:space="preserve">glauben </w:t>
      </w:r>
      <w:r w:rsidRPr="00460D51">
        <w:rPr>
          <w:rFonts w:ascii="Times New Roman" w:hAnsi="Times New Roman"/>
          <w:szCs w:val="18"/>
        </w:rPr>
        <w:t>aus. Die neuzeitliche Entwicklung ist von einem Glauben an den Fortschritt bestimmt, der alle rationale Begründung hinter sich lä</w:t>
      </w:r>
      <w:r w:rsidR="005D3A62">
        <w:rPr>
          <w:rFonts w:ascii="Times New Roman" w:hAnsi="Times New Roman"/>
          <w:szCs w:val="18"/>
        </w:rPr>
        <w:t>ss</w:t>
      </w:r>
      <w:r w:rsidRPr="00460D51">
        <w:rPr>
          <w:rFonts w:ascii="Times New Roman" w:hAnsi="Times New Roman"/>
          <w:szCs w:val="18"/>
        </w:rPr>
        <w:t xml:space="preserve">t. Zur Tradition des Denkens aber - nicht nur in Europa - gehört eine Denkform, deren Vernunft heute wiederzuentdecken ist: die Unterscheidung zwischen dem Schöpfer und seinem Geschöpf. [...] </w:t>
      </w:r>
    </w:p>
    <w:p w:rsidR="005D3A62" w:rsidRDefault="005D3A62" w:rsidP="00460D51">
      <w:pPr>
        <w:spacing w:before="19"/>
        <w:jc w:val="both"/>
        <w:rPr>
          <w:rFonts w:ascii="Times New Roman" w:hAnsi="Times New Roman"/>
          <w:szCs w:val="18"/>
        </w:rPr>
      </w:pPr>
    </w:p>
    <w:p w:rsidR="00460D51" w:rsidRPr="00460D51" w:rsidRDefault="00460D51" w:rsidP="00460D51">
      <w:pPr>
        <w:spacing w:before="19"/>
        <w:jc w:val="both"/>
        <w:rPr>
          <w:rFonts w:ascii="Times New Roman" w:hAnsi="Times New Roman"/>
          <w:szCs w:val="16"/>
        </w:rPr>
      </w:pPr>
      <w:r w:rsidRPr="00460D51">
        <w:rPr>
          <w:rFonts w:ascii="Times New Roman" w:hAnsi="Times New Roman"/>
          <w:szCs w:val="18"/>
        </w:rPr>
        <w:t>Über Jahrhunderte hat man die Aktualität des Schöpfungsgedankens vor allem darin gesehen, dass er den Menschen zu umfassender Herrschaft über die Natur ermächtigt. Der biblische Imperativ »Machet euch die Erde untertan« (Gen. 1,28) wurde so in den Dienst des Fortschrittsglaubens gestellt. Erst in der Krise des menschlichen Naturverhältnisses entdecken wir, dass ein weit wichtiger Zug des Schö</w:t>
      </w:r>
      <w:r w:rsidRPr="00460D51">
        <w:rPr>
          <w:rFonts w:ascii="Times New Roman" w:hAnsi="Times New Roman"/>
          <w:szCs w:val="18"/>
        </w:rPr>
        <w:t>p</w:t>
      </w:r>
      <w:r w:rsidRPr="00460D51">
        <w:rPr>
          <w:rFonts w:ascii="Times New Roman" w:hAnsi="Times New Roman"/>
          <w:szCs w:val="18"/>
        </w:rPr>
        <w:t>fungsgedankens an anderer Stelle zu suchen ist: nicht in der Gleichheit zwischen dem Schöpfergott und dem Menschen, sondern in ihrer Differenz. Die schöpferische Fähigkeit des Menschen ist zwi</w:t>
      </w:r>
      <w:r w:rsidRPr="00460D51">
        <w:rPr>
          <w:rFonts w:ascii="Times New Roman" w:hAnsi="Times New Roman"/>
          <w:szCs w:val="18"/>
        </w:rPr>
        <w:t>e</w:t>
      </w:r>
      <w:r w:rsidRPr="00460D51">
        <w:rPr>
          <w:rFonts w:ascii="Times New Roman" w:hAnsi="Times New Roman"/>
          <w:szCs w:val="18"/>
        </w:rPr>
        <w:t>spältig: sie kann leben fördern und zer</w:t>
      </w:r>
      <w:r w:rsidRPr="00460D51">
        <w:rPr>
          <w:rFonts w:ascii="Times New Roman" w:hAnsi="Times New Roman"/>
        </w:rPr>
        <w:t xml:space="preserve">stören, </w:t>
      </w:r>
      <w:r w:rsidRPr="00460D51">
        <w:rPr>
          <w:rFonts w:ascii="Times New Roman" w:hAnsi="Times New Roman"/>
          <w:szCs w:val="16"/>
        </w:rPr>
        <w:t>Zukunft erschließen oder versperren. Die zwiespältige Herrschaft des Menschen kann allenfalls dann gebändigt werden, wenn ihr die Unantastbarkeit des lebendigen als Grenze entgegentritt. Ang</w:t>
      </w:r>
      <w:r w:rsidRPr="00460D51">
        <w:rPr>
          <w:rFonts w:ascii="Times New Roman" w:hAnsi="Times New Roman"/>
          <w:szCs w:val="16"/>
        </w:rPr>
        <w:t>e</w:t>
      </w:r>
      <w:r w:rsidRPr="00460D51">
        <w:rPr>
          <w:rFonts w:ascii="Times New Roman" w:hAnsi="Times New Roman"/>
          <w:szCs w:val="16"/>
        </w:rPr>
        <w:t xml:space="preserve">sichts der Gefahr, die von menschlicher Herrschaft über die Natur ausgeht, öffnet sich ein neuer Zugang zu dem, was Kultur anfänglich hieß und, aufs neue heißen könnte: bebauen, um zu bewahren; bewahren/ um zu bebauen. ...] </w:t>
      </w:r>
    </w:p>
    <w:p w:rsidR="00460D51" w:rsidRPr="00460D51" w:rsidRDefault="00460D51" w:rsidP="00460D51">
      <w:pPr>
        <w:jc w:val="both"/>
        <w:rPr>
          <w:rFonts w:ascii="Times New Roman" w:hAnsi="Times New Roman"/>
          <w:szCs w:val="16"/>
        </w:rPr>
      </w:pPr>
    </w:p>
    <w:p w:rsidR="00460D51" w:rsidRPr="00460D51" w:rsidRDefault="00460D51" w:rsidP="00460D51">
      <w:pPr>
        <w:jc w:val="both"/>
        <w:rPr>
          <w:rFonts w:ascii="Times New Roman" w:hAnsi="Times New Roman"/>
          <w:szCs w:val="16"/>
        </w:rPr>
      </w:pPr>
      <w:r w:rsidRPr="00460D51">
        <w:rPr>
          <w:rFonts w:ascii="Times New Roman" w:hAnsi="Times New Roman"/>
          <w:szCs w:val="16"/>
        </w:rPr>
        <w:lastRenderedPageBreak/>
        <w:t>Die Frage, die ich mit den bisherigen Überlegungen vorbereiten wollte, heißt, ob die heute gebotene Wi</w:t>
      </w:r>
      <w:r w:rsidRPr="00460D51">
        <w:rPr>
          <w:rFonts w:ascii="Times New Roman" w:hAnsi="Times New Roman"/>
          <w:szCs w:val="16"/>
        </w:rPr>
        <w:t>s</w:t>
      </w:r>
      <w:r w:rsidRPr="00460D51">
        <w:rPr>
          <w:rFonts w:ascii="Times New Roman" w:hAnsi="Times New Roman"/>
          <w:szCs w:val="16"/>
        </w:rPr>
        <w:t xml:space="preserve">senschaftsethik sich am Fortschrittsglauben oder am Schöpfungsgedanken orientieren soll. ... </w:t>
      </w:r>
    </w:p>
    <w:p w:rsidR="00460D51" w:rsidRPr="00460D51" w:rsidRDefault="00460D51" w:rsidP="00460D51">
      <w:pPr>
        <w:jc w:val="both"/>
        <w:rPr>
          <w:rFonts w:ascii="Times New Roman" w:hAnsi="Times New Roman"/>
          <w:szCs w:val="16"/>
        </w:rPr>
      </w:pPr>
      <w:r w:rsidRPr="00460D51">
        <w:rPr>
          <w:rFonts w:ascii="Times New Roman" w:hAnsi="Times New Roman"/>
          <w:szCs w:val="16"/>
        </w:rPr>
        <w:t>Für die am Fortschrittsglauben orientierte Denkweise enthält die gegenwärtige Situation kein neues wissenschaftsethisches Problem. Verantwortlich ist der Wissenschaftler nur für die internen Praxisfo</w:t>
      </w:r>
      <w:r w:rsidRPr="00460D51">
        <w:rPr>
          <w:rFonts w:ascii="Times New Roman" w:hAnsi="Times New Roman"/>
          <w:szCs w:val="16"/>
        </w:rPr>
        <w:t>l</w:t>
      </w:r>
      <w:r w:rsidRPr="00460D51">
        <w:rPr>
          <w:rFonts w:ascii="Times New Roman" w:hAnsi="Times New Roman"/>
          <w:szCs w:val="16"/>
        </w:rPr>
        <w:t>gen seiner Forschung, für Risiken also, die im Forschungsproze</w:t>
      </w:r>
      <w:r w:rsidR="005D3A62">
        <w:rPr>
          <w:rFonts w:ascii="Times New Roman" w:hAnsi="Times New Roman"/>
          <w:szCs w:val="16"/>
        </w:rPr>
        <w:t>ss</w:t>
      </w:r>
      <w:r w:rsidRPr="00460D51">
        <w:rPr>
          <w:rFonts w:ascii="Times New Roman" w:hAnsi="Times New Roman"/>
          <w:szCs w:val="16"/>
        </w:rPr>
        <w:t xml:space="preserve"> selbst auftreten. Verantwortlich ist er nach dieser Denkweise dagegen nicht für die externen Folgen seiner Forschung. Was geschieht, wenn seine Erkenntni</w:t>
      </w:r>
      <w:r w:rsidRPr="00460D51">
        <w:rPr>
          <w:rFonts w:ascii="Times New Roman" w:hAnsi="Times New Roman"/>
          <w:szCs w:val="16"/>
        </w:rPr>
        <w:t>s</w:t>
      </w:r>
      <w:r w:rsidRPr="00460D51">
        <w:rPr>
          <w:rFonts w:ascii="Times New Roman" w:hAnsi="Times New Roman"/>
          <w:szCs w:val="16"/>
        </w:rPr>
        <w:t>se technisch umgesetzt, industriell angewandt oder militärisch genutzt werden, liegt jenseits seiner Verantwortung. Eine am Schöpfungsgedanken orientierte Argumentation dagegen b</w:t>
      </w:r>
      <w:r w:rsidRPr="00460D51">
        <w:rPr>
          <w:rFonts w:ascii="Times New Roman" w:hAnsi="Times New Roman"/>
          <w:szCs w:val="16"/>
        </w:rPr>
        <w:t>e</w:t>
      </w:r>
      <w:r w:rsidRPr="00460D51">
        <w:rPr>
          <w:rFonts w:ascii="Times New Roman" w:hAnsi="Times New Roman"/>
          <w:szCs w:val="16"/>
        </w:rPr>
        <w:t>harrt darauf, dass der Horizont unserer Verantwortung mit der Reichweite der Mittel wächst, die wir entwickeln oder über die wir verfügen. Deshalb erstreckt sich die Verantwortung der heute Lebenden auf die Lebensbedingungen künftiger Gener</w:t>
      </w:r>
      <w:r w:rsidRPr="00460D51">
        <w:rPr>
          <w:rFonts w:ascii="Times New Roman" w:hAnsi="Times New Roman"/>
          <w:szCs w:val="16"/>
        </w:rPr>
        <w:t>a</w:t>
      </w:r>
      <w:r w:rsidRPr="00460D51">
        <w:rPr>
          <w:rFonts w:ascii="Times New Roman" w:hAnsi="Times New Roman"/>
          <w:szCs w:val="16"/>
        </w:rPr>
        <w:t>tionen und auf das Lebensrecht der außermenschlichen Natur. Dieser Grundsatz gilt dann auch für die Wi</w:t>
      </w:r>
      <w:r w:rsidRPr="00460D51">
        <w:rPr>
          <w:rFonts w:ascii="Times New Roman" w:hAnsi="Times New Roman"/>
          <w:szCs w:val="16"/>
        </w:rPr>
        <w:t>s</w:t>
      </w:r>
      <w:r w:rsidRPr="00460D51">
        <w:rPr>
          <w:rFonts w:ascii="Times New Roman" w:hAnsi="Times New Roman"/>
          <w:szCs w:val="16"/>
        </w:rPr>
        <w:t xml:space="preserve">senschaftsethik. ...] </w:t>
      </w:r>
    </w:p>
    <w:p w:rsidR="00460D51" w:rsidRPr="00460D51" w:rsidRDefault="00460D51" w:rsidP="00460D51">
      <w:pPr>
        <w:spacing w:before="9"/>
        <w:jc w:val="both"/>
        <w:rPr>
          <w:rFonts w:ascii="Times New Roman" w:hAnsi="Times New Roman"/>
          <w:szCs w:val="16"/>
        </w:rPr>
      </w:pPr>
      <w:r w:rsidRPr="00460D51">
        <w:rPr>
          <w:rFonts w:ascii="Times New Roman" w:hAnsi="Times New Roman"/>
          <w:szCs w:val="16"/>
        </w:rPr>
        <w:t>Wissenschaftliche Entwicklungen müssen an der Frage geprüft werden, ob wir dadurch die Lebensbedi</w:t>
      </w:r>
      <w:r w:rsidRPr="00460D51">
        <w:rPr>
          <w:rFonts w:ascii="Times New Roman" w:hAnsi="Times New Roman"/>
          <w:szCs w:val="16"/>
        </w:rPr>
        <w:t>n</w:t>
      </w:r>
      <w:r w:rsidRPr="00460D51">
        <w:rPr>
          <w:rFonts w:ascii="Times New Roman" w:hAnsi="Times New Roman"/>
          <w:szCs w:val="16"/>
        </w:rPr>
        <w:t xml:space="preserve">gungen künftiger Generationen erhalten oder einschränken, ob wir sie gewährleisten oder aufs Spiel setzen. </w:t>
      </w:r>
    </w:p>
    <w:p w:rsidR="00460D51" w:rsidRPr="00460D51" w:rsidRDefault="00460D51" w:rsidP="00460D51">
      <w:pPr>
        <w:spacing w:before="24"/>
        <w:jc w:val="both"/>
        <w:rPr>
          <w:rFonts w:ascii="Times New Roman" w:hAnsi="Times New Roman"/>
          <w:szCs w:val="16"/>
        </w:rPr>
      </w:pPr>
      <w:r w:rsidRPr="00460D51">
        <w:rPr>
          <w:rFonts w:ascii="Times New Roman" w:hAnsi="Times New Roman"/>
          <w:szCs w:val="16"/>
        </w:rPr>
        <w:t>Hans Jonas hat die Struktur einer Verantwortungsethik auf die Formel eines Kategorischen Imperativs gebracht: »Hand</w:t>
      </w:r>
      <w:r w:rsidRPr="00460D51">
        <w:rPr>
          <w:rFonts w:ascii="Times New Roman" w:hAnsi="Times New Roman"/>
          <w:szCs w:val="18"/>
        </w:rPr>
        <w:t>le so, dass die Wirkungen deines Hande</w:t>
      </w:r>
      <w:r w:rsidR="005D3A62">
        <w:rPr>
          <w:rFonts w:ascii="Times New Roman" w:hAnsi="Times New Roman"/>
          <w:szCs w:val="18"/>
        </w:rPr>
        <w:t>l</w:t>
      </w:r>
      <w:r w:rsidRPr="00460D51">
        <w:rPr>
          <w:rFonts w:ascii="Times New Roman" w:hAnsi="Times New Roman"/>
          <w:szCs w:val="18"/>
        </w:rPr>
        <w:t xml:space="preserve">ns verträglich </w:t>
      </w:r>
      <w:r w:rsidRPr="00460D51">
        <w:rPr>
          <w:rFonts w:ascii="Times New Roman" w:hAnsi="Times New Roman"/>
          <w:szCs w:val="16"/>
        </w:rPr>
        <w:t>sind mit der Permanenz echten mensc</w:t>
      </w:r>
      <w:r w:rsidRPr="00460D51">
        <w:rPr>
          <w:rFonts w:ascii="Times New Roman" w:hAnsi="Times New Roman"/>
          <w:szCs w:val="16"/>
        </w:rPr>
        <w:t>h</w:t>
      </w:r>
      <w:r w:rsidRPr="00460D51">
        <w:rPr>
          <w:rFonts w:ascii="Times New Roman" w:hAnsi="Times New Roman"/>
          <w:szCs w:val="16"/>
        </w:rPr>
        <w:t>lichen Lebens auf der Erde.« Negativ und vielleicht bescheidener formuliert kann man daraus eine Unterla</w:t>
      </w:r>
      <w:r w:rsidRPr="00460D51">
        <w:rPr>
          <w:rFonts w:ascii="Times New Roman" w:hAnsi="Times New Roman"/>
          <w:szCs w:val="16"/>
        </w:rPr>
        <w:t>s</w:t>
      </w:r>
      <w:r w:rsidRPr="00460D51">
        <w:rPr>
          <w:rFonts w:ascii="Times New Roman" w:hAnsi="Times New Roman"/>
          <w:szCs w:val="16"/>
        </w:rPr>
        <w:t>sungsregel ableiten: Unterlasse Handlungen, von denen du befürchten mu</w:t>
      </w:r>
      <w:r w:rsidR="005D3A62">
        <w:rPr>
          <w:rFonts w:ascii="Times New Roman" w:hAnsi="Times New Roman"/>
          <w:szCs w:val="16"/>
        </w:rPr>
        <w:t>ss</w:t>
      </w:r>
      <w:r w:rsidRPr="00460D51">
        <w:rPr>
          <w:rFonts w:ascii="Times New Roman" w:hAnsi="Times New Roman"/>
          <w:szCs w:val="16"/>
        </w:rPr>
        <w:t>t, dass ihre Wirkungen unverei</w:t>
      </w:r>
      <w:r w:rsidRPr="00460D51">
        <w:rPr>
          <w:rFonts w:ascii="Times New Roman" w:hAnsi="Times New Roman"/>
          <w:szCs w:val="16"/>
        </w:rPr>
        <w:t>n</w:t>
      </w:r>
      <w:r w:rsidRPr="00460D51">
        <w:rPr>
          <w:rFonts w:ascii="Times New Roman" w:hAnsi="Times New Roman"/>
          <w:szCs w:val="16"/>
        </w:rPr>
        <w:t xml:space="preserve">bar sind mit der Permanenz echten menschlichen Lebens auf der Erde. </w:t>
      </w:r>
    </w:p>
    <w:p w:rsidR="00460D51" w:rsidRPr="00460D51" w:rsidRDefault="00460D51" w:rsidP="00460D51">
      <w:pPr>
        <w:jc w:val="both"/>
        <w:rPr>
          <w:rFonts w:ascii="Times New Roman" w:hAnsi="Times New Roman"/>
          <w:szCs w:val="16"/>
        </w:rPr>
      </w:pPr>
      <w:r w:rsidRPr="00460D51">
        <w:rPr>
          <w:rFonts w:ascii="Times New Roman" w:hAnsi="Times New Roman"/>
          <w:szCs w:val="16"/>
        </w:rPr>
        <w:t>Gegen diesen Imperativ lassen sich ... Einwände vorbringen. Ein Einwand richtet sich gegen die Anthrop</w:t>
      </w:r>
      <w:r w:rsidRPr="00460D51">
        <w:rPr>
          <w:rFonts w:ascii="Times New Roman" w:hAnsi="Times New Roman"/>
          <w:szCs w:val="16"/>
        </w:rPr>
        <w:t>o</w:t>
      </w:r>
      <w:r w:rsidRPr="00460D51">
        <w:rPr>
          <w:rFonts w:ascii="Times New Roman" w:hAnsi="Times New Roman"/>
          <w:szCs w:val="16"/>
        </w:rPr>
        <w:t xml:space="preserve">zentrik seiner Formulierung. Wissenschaftsethik sollte sich an der </w:t>
      </w:r>
      <w:r w:rsidRPr="00460D51">
        <w:rPr>
          <w:rFonts w:ascii="Times New Roman" w:hAnsi="Times New Roman"/>
          <w:szCs w:val="18"/>
        </w:rPr>
        <w:t>Einsicht orientieren, dass nicht nur dem Menschen eine spe</w:t>
      </w:r>
      <w:r w:rsidRPr="00460D51">
        <w:rPr>
          <w:rFonts w:ascii="Times New Roman" w:hAnsi="Times New Roman"/>
          <w:szCs w:val="16"/>
        </w:rPr>
        <w:t>zifische Würde zukommt, sondern auch der außermenschlichen Natur. Auch sie ist nicht einfach ein Mittel für den Menschen, sondern hat ihren eigenen Sinn, ihren e</w:t>
      </w:r>
      <w:r w:rsidRPr="00460D51">
        <w:rPr>
          <w:rFonts w:ascii="Times New Roman" w:hAnsi="Times New Roman"/>
          <w:szCs w:val="16"/>
        </w:rPr>
        <w:t>i</w:t>
      </w:r>
      <w:r w:rsidRPr="00460D51">
        <w:rPr>
          <w:rFonts w:ascii="Times New Roman" w:hAnsi="Times New Roman"/>
          <w:szCs w:val="16"/>
        </w:rPr>
        <w:t>genen Zweck, ihre eigene Schönheit. Der Horizont der heute gebotenen Verantwortungsethik ist nicht nur die Permanenz menschl</w:t>
      </w:r>
      <w:r w:rsidRPr="00460D51">
        <w:rPr>
          <w:rFonts w:ascii="Times New Roman" w:hAnsi="Times New Roman"/>
          <w:szCs w:val="16"/>
        </w:rPr>
        <w:t>i</w:t>
      </w:r>
      <w:r w:rsidRPr="00460D51">
        <w:rPr>
          <w:rFonts w:ascii="Times New Roman" w:hAnsi="Times New Roman"/>
          <w:szCs w:val="16"/>
        </w:rPr>
        <w:t xml:space="preserve">chen Lebens, sondern der Fortbestand des Lebens in seiner Vielfalt und Fülle. </w:t>
      </w:r>
    </w:p>
    <w:p w:rsidR="00460D51" w:rsidRPr="00460D51" w:rsidRDefault="00460D51" w:rsidP="00460D51">
      <w:pPr>
        <w:spacing w:before="134"/>
        <w:jc w:val="both"/>
        <w:rPr>
          <w:rFonts w:ascii="Times New Roman" w:hAnsi="Times New Roman"/>
          <w:i/>
          <w:iCs/>
          <w:szCs w:val="16"/>
        </w:rPr>
      </w:pPr>
      <w:r w:rsidRPr="00460D51">
        <w:rPr>
          <w:rFonts w:ascii="Times New Roman" w:hAnsi="Times New Roman"/>
          <w:i/>
          <w:iCs/>
          <w:szCs w:val="14"/>
        </w:rPr>
        <w:t>Wolfgang Huber: Fortschrittsglaube und Sch</w:t>
      </w:r>
      <w:r w:rsidR="005D3A62">
        <w:rPr>
          <w:rFonts w:ascii="Times New Roman" w:hAnsi="Times New Roman"/>
          <w:i/>
          <w:iCs/>
          <w:szCs w:val="14"/>
        </w:rPr>
        <w:t>ö</w:t>
      </w:r>
      <w:r w:rsidRPr="00460D51">
        <w:rPr>
          <w:rFonts w:ascii="Times New Roman" w:hAnsi="Times New Roman"/>
          <w:i/>
          <w:iCs/>
          <w:szCs w:val="14"/>
        </w:rPr>
        <w:t>pfungsgedanke. Überlegungen zur Verantwortung der Wi</w:t>
      </w:r>
      <w:r w:rsidRPr="00460D51">
        <w:rPr>
          <w:rFonts w:ascii="Times New Roman" w:hAnsi="Times New Roman"/>
          <w:i/>
          <w:iCs/>
          <w:szCs w:val="14"/>
        </w:rPr>
        <w:t>s</w:t>
      </w:r>
      <w:r w:rsidRPr="00460D51">
        <w:rPr>
          <w:rFonts w:ascii="Times New Roman" w:hAnsi="Times New Roman"/>
          <w:i/>
          <w:iCs/>
          <w:szCs w:val="14"/>
        </w:rPr>
        <w:t xml:space="preserve">senschaft. In: Konflikt und Konsens. Studien </w:t>
      </w:r>
      <w:r w:rsidRPr="00460D51">
        <w:rPr>
          <w:rFonts w:ascii="Times New Roman" w:hAnsi="Times New Roman"/>
          <w:i/>
          <w:iCs/>
          <w:szCs w:val="16"/>
        </w:rPr>
        <w:t xml:space="preserve">zur Ethik der Verantwortung, München 1990, S. </w:t>
      </w:r>
      <w:r w:rsidRPr="00460D51">
        <w:rPr>
          <w:rFonts w:ascii="Times New Roman" w:hAnsi="Times New Roman"/>
          <w:szCs w:val="16"/>
        </w:rPr>
        <w:t xml:space="preserve">196-198, </w:t>
      </w:r>
      <w:r w:rsidRPr="00460D51">
        <w:rPr>
          <w:rFonts w:ascii="Times New Roman" w:hAnsi="Times New Roman"/>
          <w:i/>
          <w:iCs/>
          <w:szCs w:val="16"/>
        </w:rPr>
        <w:t xml:space="preserve">203-206. </w:t>
      </w:r>
    </w:p>
    <w:p w:rsidR="00460D51" w:rsidRDefault="005D3A62" w:rsidP="00460D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rPr>
      </w:pPr>
      <w:r>
        <w:rPr>
          <w:rFonts w:ascii="Times New Roman" w:hAnsi="Times New Roman"/>
          <w:sz w:val="28"/>
        </w:rPr>
        <w:t>Warum unterscheidet Huber bewusst in  Fortschrittsglaube und Schöpfungsgedanke?</w:t>
      </w:r>
    </w:p>
    <w:p w:rsidR="005D3A62" w:rsidRPr="00460D51" w:rsidRDefault="005D3A62" w:rsidP="005D3A62">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sz w:val="28"/>
        </w:rPr>
      </w:pPr>
    </w:p>
    <w:p w:rsidR="00460D51" w:rsidRPr="00460D51" w:rsidRDefault="00460D51" w:rsidP="00460D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460D51">
        <w:rPr>
          <w:rFonts w:ascii="Times New Roman" w:hAnsi="Times New Roman"/>
          <w:sz w:val="28"/>
        </w:rPr>
        <w:t>Zu welchem Ergebnis/ Forderung kommt Wolfgang Huber?</w:t>
      </w:r>
    </w:p>
    <w:p w:rsidR="00460D51" w:rsidRDefault="00460D51" w:rsidP="00460D51">
      <w:pPr>
        <w:pBdr>
          <w:top w:val="single" w:sz="4" w:space="1" w:color="auto"/>
          <w:left w:val="single" w:sz="4" w:space="4" w:color="auto"/>
          <w:bottom w:val="single" w:sz="4" w:space="1" w:color="auto"/>
          <w:right w:val="single" w:sz="4" w:space="4" w:color="auto"/>
        </w:pBdr>
        <w:ind w:left="360"/>
      </w:pPr>
    </w:p>
    <w:sectPr w:rsidR="00460D51" w:rsidSect="005E20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1A" w:rsidRDefault="00FC0B1A" w:rsidP="00F4336F">
      <w:pPr>
        <w:spacing w:after="0" w:line="240" w:lineRule="auto"/>
      </w:pPr>
      <w:r>
        <w:separator/>
      </w:r>
    </w:p>
  </w:endnote>
  <w:endnote w:type="continuationSeparator" w:id="0">
    <w:p w:rsidR="00FC0B1A" w:rsidRDefault="00FC0B1A" w:rsidP="00F43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Fuzeile"/>
    </w:pPr>
    <w:r>
      <w:t>Materialblatt  Rüdiger Stiehl</w:t>
    </w:r>
  </w:p>
  <w:p w:rsidR="00F4336F" w:rsidRDefault="00F4336F">
    <w:pPr>
      <w:pStyle w:val="Fuzeile"/>
    </w:pPr>
    <w:r>
      <w:t>Thema: Glaube und Naturwissenschaft</w:t>
    </w:r>
  </w:p>
  <w:p w:rsidR="00F4336F" w:rsidRDefault="00F4336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1A" w:rsidRDefault="00FC0B1A" w:rsidP="00F4336F">
      <w:pPr>
        <w:spacing w:after="0" w:line="240" w:lineRule="auto"/>
      </w:pPr>
      <w:r>
        <w:separator/>
      </w:r>
    </w:p>
  </w:footnote>
  <w:footnote w:type="continuationSeparator" w:id="0">
    <w:p w:rsidR="00FC0B1A" w:rsidRDefault="00FC0B1A" w:rsidP="00F43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F" w:rsidRDefault="00F4336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14AD"/>
    <w:multiLevelType w:val="hybridMultilevel"/>
    <w:tmpl w:val="CF5ED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E390108"/>
    <w:multiLevelType w:val="hybridMultilevel"/>
    <w:tmpl w:val="6A361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6B2800"/>
    <w:multiLevelType w:val="hybridMultilevel"/>
    <w:tmpl w:val="88F80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4A59C6"/>
    <w:multiLevelType w:val="hybridMultilevel"/>
    <w:tmpl w:val="9BD4B35A"/>
    <w:lvl w:ilvl="0" w:tplc="0DFCD42C">
      <w:start w:val="1"/>
      <w:numFmt w:val="bullet"/>
      <w:lvlText w:val=""/>
      <w:lvlJc w:val="left"/>
      <w:pPr>
        <w:tabs>
          <w:tab w:val="num" w:pos="720"/>
        </w:tabs>
        <w:ind w:left="720" w:hanging="360"/>
      </w:pPr>
      <w:rPr>
        <w:rFonts w:ascii="Symbol" w:hAnsi="Symbol" w:hint="default"/>
        <w:sz w:val="20"/>
      </w:rPr>
    </w:lvl>
    <w:lvl w:ilvl="1" w:tplc="47B4150A" w:tentative="1">
      <w:start w:val="1"/>
      <w:numFmt w:val="bullet"/>
      <w:lvlText w:val="o"/>
      <w:lvlJc w:val="left"/>
      <w:pPr>
        <w:tabs>
          <w:tab w:val="num" w:pos="1440"/>
        </w:tabs>
        <w:ind w:left="1440" w:hanging="360"/>
      </w:pPr>
      <w:rPr>
        <w:rFonts w:ascii="Courier New" w:hAnsi="Courier New" w:hint="default"/>
        <w:sz w:val="20"/>
      </w:rPr>
    </w:lvl>
    <w:lvl w:ilvl="2" w:tplc="9C3E9F16" w:tentative="1">
      <w:start w:val="1"/>
      <w:numFmt w:val="bullet"/>
      <w:lvlText w:val=""/>
      <w:lvlJc w:val="left"/>
      <w:pPr>
        <w:tabs>
          <w:tab w:val="num" w:pos="2160"/>
        </w:tabs>
        <w:ind w:left="2160" w:hanging="360"/>
      </w:pPr>
      <w:rPr>
        <w:rFonts w:ascii="Wingdings" w:hAnsi="Wingdings" w:hint="default"/>
        <w:sz w:val="20"/>
      </w:rPr>
    </w:lvl>
    <w:lvl w:ilvl="3" w:tplc="AD3E99E0" w:tentative="1">
      <w:start w:val="1"/>
      <w:numFmt w:val="bullet"/>
      <w:lvlText w:val=""/>
      <w:lvlJc w:val="left"/>
      <w:pPr>
        <w:tabs>
          <w:tab w:val="num" w:pos="2880"/>
        </w:tabs>
        <w:ind w:left="2880" w:hanging="360"/>
      </w:pPr>
      <w:rPr>
        <w:rFonts w:ascii="Wingdings" w:hAnsi="Wingdings" w:hint="default"/>
        <w:sz w:val="20"/>
      </w:rPr>
    </w:lvl>
    <w:lvl w:ilvl="4" w:tplc="B688F8BE" w:tentative="1">
      <w:start w:val="1"/>
      <w:numFmt w:val="bullet"/>
      <w:lvlText w:val=""/>
      <w:lvlJc w:val="left"/>
      <w:pPr>
        <w:tabs>
          <w:tab w:val="num" w:pos="3600"/>
        </w:tabs>
        <w:ind w:left="3600" w:hanging="360"/>
      </w:pPr>
      <w:rPr>
        <w:rFonts w:ascii="Wingdings" w:hAnsi="Wingdings" w:hint="default"/>
        <w:sz w:val="20"/>
      </w:rPr>
    </w:lvl>
    <w:lvl w:ilvl="5" w:tplc="3E360510" w:tentative="1">
      <w:start w:val="1"/>
      <w:numFmt w:val="bullet"/>
      <w:lvlText w:val=""/>
      <w:lvlJc w:val="left"/>
      <w:pPr>
        <w:tabs>
          <w:tab w:val="num" w:pos="4320"/>
        </w:tabs>
        <w:ind w:left="4320" w:hanging="360"/>
      </w:pPr>
      <w:rPr>
        <w:rFonts w:ascii="Wingdings" w:hAnsi="Wingdings" w:hint="default"/>
        <w:sz w:val="20"/>
      </w:rPr>
    </w:lvl>
    <w:lvl w:ilvl="6" w:tplc="B2748836" w:tentative="1">
      <w:start w:val="1"/>
      <w:numFmt w:val="bullet"/>
      <w:lvlText w:val=""/>
      <w:lvlJc w:val="left"/>
      <w:pPr>
        <w:tabs>
          <w:tab w:val="num" w:pos="5040"/>
        </w:tabs>
        <w:ind w:left="5040" w:hanging="360"/>
      </w:pPr>
      <w:rPr>
        <w:rFonts w:ascii="Wingdings" w:hAnsi="Wingdings" w:hint="default"/>
        <w:sz w:val="20"/>
      </w:rPr>
    </w:lvl>
    <w:lvl w:ilvl="7" w:tplc="F55A143E" w:tentative="1">
      <w:start w:val="1"/>
      <w:numFmt w:val="bullet"/>
      <w:lvlText w:val=""/>
      <w:lvlJc w:val="left"/>
      <w:pPr>
        <w:tabs>
          <w:tab w:val="num" w:pos="5760"/>
        </w:tabs>
        <w:ind w:left="5760" w:hanging="360"/>
      </w:pPr>
      <w:rPr>
        <w:rFonts w:ascii="Wingdings" w:hAnsi="Wingdings" w:hint="default"/>
        <w:sz w:val="20"/>
      </w:rPr>
    </w:lvl>
    <w:lvl w:ilvl="8" w:tplc="E80479B6"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7679D"/>
    <w:multiLevelType w:val="hybridMultilevel"/>
    <w:tmpl w:val="8B1E88C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021D31"/>
    <w:multiLevelType w:val="hybridMultilevel"/>
    <w:tmpl w:val="1F36B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Root w:val="005D3A62"/>
    <w:rsid w:val="00114E2E"/>
    <w:rsid w:val="00460D51"/>
    <w:rsid w:val="004B7F90"/>
    <w:rsid w:val="005D3A62"/>
    <w:rsid w:val="005E20A3"/>
    <w:rsid w:val="00737111"/>
    <w:rsid w:val="007D5C0F"/>
    <w:rsid w:val="00B96B90"/>
    <w:rsid w:val="00F4336F"/>
    <w:rsid w:val="00F77407"/>
    <w:rsid w:val="00FC0B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0A3"/>
    <w:pPr>
      <w:spacing w:after="200" w:line="276"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36F"/>
    <w:pPr>
      <w:ind w:left="720"/>
      <w:contextualSpacing/>
    </w:pPr>
  </w:style>
  <w:style w:type="paragraph" w:styleId="Kopfzeile">
    <w:name w:val="header"/>
    <w:basedOn w:val="Standard"/>
    <w:link w:val="KopfzeileZchn"/>
    <w:uiPriority w:val="99"/>
    <w:semiHidden/>
    <w:unhideWhenUsed/>
    <w:rsid w:val="00F43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4336F"/>
  </w:style>
  <w:style w:type="paragraph" w:styleId="Fuzeile">
    <w:name w:val="footer"/>
    <w:basedOn w:val="Standard"/>
    <w:link w:val="FuzeileZchn"/>
    <w:uiPriority w:val="99"/>
    <w:unhideWhenUsed/>
    <w:rsid w:val="00F43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36F"/>
  </w:style>
  <w:style w:type="paragraph" w:styleId="Sprechblasentext">
    <w:name w:val="Balloon Text"/>
    <w:basedOn w:val="Standard"/>
    <w:link w:val="SprechblasentextZchn"/>
    <w:uiPriority w:val="99"/>
    <w:semiHidden/>
    <w:unhideWhenUsed/>
    <w:rsid w:val="00F43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36F"/>
    <w:rPr>
      <w:rFonts w:ascii="Tahoma" w:hAnsi="Tahoma" w:cs="Tahoma"/>
      <w:sz w:val="16"/>
      <w:szCs w:val="16"/>
    </w:rPr>
  </w:style>
  <w:style w:type="paragraph" w:styleId="Textkrper">
    <w:name w:val="Body Text"/>
    <w:basedOn w:val="Standard"/>
    <w:link w:val="TextkrperZchn"/>
    <w:semiHidden/>
    <w:rsid w:val="00460D51"/>
    <w:pPr>
      <w:spacing w:before="129" w:after="0" w:line="240" w:lineRule="auto"/>
    </w:pPr>
    <w:rPr>
      <w:rFonts w:ascii="Times New Roman" w:hAnsi="Times New Roman"/>
      <w:i/>
      <w:iCs/>
      <w:sz w:val="18"/>
      <w:szCs w:val="16"/>
    </w:rPr>
  </w:style>
  <w:style w:type="character" w:customStyle="1" w:styleId="TextkrperZchn">
    <w:name w:val="Textkörper Zchn"/>
    <w:basedOn w:val="Absatz-Standardschriftart"/>
    <w:link w:val="Textkrper"/>
    <w:semiHidden/>
    <w:rsid w:val="00460D51"/>
    <w:rPr>
      <w:rFonts w:ascii="Times New Roman" w:eastAsia="Times New Roman" w:hAnsi="Times New Roman" w:cs="Times New Roman"/>
      <w:i/>
      <w:iCs/>
      <w:sz w:val="18"/>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252;diger\AppData\Roaming\Microsoft\Templates\Marterial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3CB2-5375-4628-A976-CC6C9C95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Marterialblatt.dotx</Template>
  <TotalTime>0</TotalTime>
  <Pages>2</Pages>
  <Words>855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Stiehl</dc:creator>
  <cp:lastModifiedBy>Wolfgang Ballmann</cp:lastModifiedBy>
  <cp:revision>2</cp:revision>
  <dcterms:created xsi:type="dcterms:W3CDTF">2010-02-28T15:10:00Z</dcterms:created>
  <dcterms:modified xsi:type="dcterms:W3CDTF">2010-02-28T15:10:00Z</dcterms:modified>
</cp:coreProperties>
</file>